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Для лиц с ограниченными возможностями здоровья по программе "Доступная среда" созданы следующие условия: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в коридоре установлены хромированные одноуровневые настенные ограждения - поручни;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на лестничной клетке установили хромированные двухуровневые ограждения;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электронное табло;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кнопку вызова персонала;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тактильные таблички с наименованием учреждения Шрифт Брайля 700х500;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в санузле поручней умывальника, унитаза, поддона.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В наличии имеются следующее оборудование для МГН: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портативная индукционная система для инвалидов UltraSonik;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обучающие стенды для ДОУ с индукционной системой 840х640 мм "Времена года", "Азбук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